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718" w14:textId="77777777" w:rsidR="006052EA" w:rsidRPr="0009378F" w:rsidRDefault="004D338C" w:rsidP="00F20B3C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9378F">
        <w:rPr>
          <w:rFonts w:ascii="Arial" w:hAnsi="Arial" w:cs="Arial"/>
          <w:b/>
          <w:color w:val="0070C0"/>
          <w:sz w:val="28"/>
          <w:szCs w:val="28"/>
        </w:rPr>
        <w:t>North Presentation Primary School</w:t>
      </w:r>
    </w:p>
    <w:p w14:paraId="6F31ECBC" w14:textId="77777777" w:rsidR="006052EA" w:rsidRPr="0009378F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9378F">
        <w:rPr>
          <w:rFonts w:ascii="Arial" w:hAnsi="Arial" w:cs="Arial"/>
          <w:b/>
          <w:color w:val="0070C0"/>
          <w:sz w:val="28"/>
          <w:szCs w:val="28"/>
        </w:rPr>
        <w:t>ANNUAL ADMISSION NOTICE</w:t>
      </w:r>
    </w:p>
    <w:p w14:paraId="6953D5A7" w14:textId="03DE95ED" w:rsidR="006052EA" w:rsidRPr="0009378F" w:rsidRDefault="0068743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9378F">
        <w:rPr>
          <w:rFonts w:ascii="Arial" w:hAnsi="Arial" w:cs="Arial"/>
          <w:b/>
          <w:color w:val="0070C0"/>
          <w:sz w:val="28"/>
          <w:szCs w:val="28"/>
        </w:rPr>
        <w:t>In</w:t>
      </w:r>
      <w:r w:rsidR="006052EA" w:rsidRPr="0009378F">
        <w:rPr>
          <w:rFonts w:ascii="Arial" w:hAnsi="Arial" w:cs="Arial"/>
          <w:b/>
          <w:color w:val="0070C0"/>
          <w:sz w:val="28"/>
          <w:szCs w:val="28"/>
        </w:rPr>
        <w:t xml:space="preserve"> respect of admission</w:t>
      </w:r>
      <w:r w:rsidR="00827610" w:rsidRPr="0009378F">
        <w:rPr>
          <w:rFonts w:ascii="Arial" w:hAnsi="Arial" w:cs="Arial"/>
          <w:b/>
          <w:color w:val="0070C0"/>
          <w:sz w:val="28"/>
          <w:szCs w:val="28"/>
        </w:rPr>
        <w:t>s</w:t>
      </w:r>
      <w:r w:rsidR="00775617">
        <w:rPr>
          <w:rFonts w:ascii="Arial" w:hAnsi="Arial" w:cs="Arial"/>
          <w:b/>
          <w:color w:val="0070C0"/>
          <w:sz w:val="28"/>
          <w:szCs w:val="28"/>
        </w:rPr>
        <w:t xml:space="preserve"> to the 2025/2026</w:t>
      </w:r>
      <w:r w:rsidR="006052EA" w:rsidRPr="0009378F">
        <w:rPr>
          <w:rFonts w:ascii="Arial" w:hAnsi="Arial" w:cs="Arial"/>
          <w:b/>
          <w:color w:val="0070C0"/>
          <w:sz w:val="28"/>
          <w:szCs w:val="28"/>
        </w:rPr>
        <w:t xml:space="preserve"> school year</w:t>
      </w:r>
    </w:p>
    <w:p w14:paraId="503858BC" w14:textId="77777777" w:rsidR="007B1AA8" w:rsidRPr="007B1AA8" w:rsidRDefault="007B1AA8" w:rsidP="004040CA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1CB101CF" w14:textId="77777777" w:rsidR="00182663" w:rsidRPr="008B52D5" w:rsidRDefault="00182663" w:rsidP="00C74A3B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4D9F300D" w14:textId="2D40BE97" w:rsidR="000C45DC" w:rsidRPr="00770F3B" w:rsidRDefault="00182663" w:rsidP="00C74A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A20859">
        <w:rPr>
          <w:rFonts w:ascii="Arial" w:hAnsi="Arial" w:cs="Arial"/>
        </w:rPr>
        <w:t>2025 – 2026</w:t>
      </w:r>
      <w:r w:rsidR="004D338C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</w:p>
    <w:p w14:paraId="6F0331FF" w14:textId="77777777" w:rsidR="000C45DC" w:rsidRPr="00770F3B" w:rsidRDefault="00C74A3B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1. </w:t>
      </w:r>
      <w:r w:rsidR="00182663"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="00182663"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</w:t>
      </w:r>
      <w:r w:rsidR="004D338C">
        <w:rPr>
          <w:rStyle w:val="Hyperlink"/>
          <w:rFonts w:ascii="Arial" w:hAnsi="Arial" w:cs="Arial"/>
        </w:rPr>
        <w:t>.northpresprimary.ie</w:t>
      </w:r>
    </w:p>
    <w:p w14:paraId="68A1E438" w14:textId="77777777" w:rsidR="00C74A3B" w:rsidRDefault="00C74A3B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052EA"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r w:rsidR="004D338C">
        <w:rPr>
          <w:rFonts w:ascii="Arial" w:hAnsi="Arial" w:cs="Arial"/>
        </w:rPr>
        <w:t>northpres@gmail.com</w:t>
      </w:r>
      <w:r w:rsidR="006052EA"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>:</w:t>
      </w:r>
    </w:p>
    <w:p w14:paraId="175BF3E7" w14:textId="234D748B" w:rsidR="00C74A3B" w:rsidRDefault="004D338C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Admissions, North Presentation Primary School, Cathedral Walk, Gerald Griffin St., Cork, </w:t>
      </w:r>
    </w:p>
    <w:p w14:paraId="3DA899F8" w14:textId="77777777" w:rsidR="00182663" w:rsidRPr="00770F3B" w:rsidRDefault="004D338C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T23 F344.</w:t>
      </w:r>
    </w:p>
    <w:p w14:paraId="082789A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6FD874E0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E08B1D4" w14:textId="4959811D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A20859">
        <w:rPr>
          <w:rFonts w:ascii="Arial" w:hAnsi="Arial" w:cs="Arial"/>
          <w:b/>
          <w:color w:val="385623" w:themeColor="accent6" w:themeShade="80"/>
          <w:sz w:val="24"/>
          <w:szCs w:val="24"/>
        </w:rPr>
        <w:t>2025 – 2026</w:t>
      </w:r>
      <w:r w:rsidR="004D338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0E9B06FB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C679369" w14:textId="60E1E181" w:rsidR="004D338C" w:rsidRDefault="00182663" w:rsidP="004040CA">
      <w:pPr>
        <w:pStyle w:val="ListParagraph"/>
        <w:spacing w:line="276" w:lineRule="auto"/>
        <w:ind w:left="0"/>
        <w:jc w:val="center"/>
        <w:rPr>
          <w:rFonts w:ascii="Arial" w:hAnsi="Arial" w:cs="Arial"/>
          <w:color w:val="385623" w:themeColor="accent6" w:themeShade="80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7588B">
        <w:rPr>
          <w:rFonts w:ascii="Arial" w:hAnsi="Arial" w:cs="Arial"/>
          <w:b/>
          <w:color w:val="385623" w:themeColor="accent6" w:themeShade="80"/>
          <w:sz w:val="24"/>
          <w:szCs w:val="24"/>
        </w:rPr>
        <w:t>2025 – 2026</w:t>
      </w:r>
      <w:r w:rsidR="004D338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C8F273E" w14:textId="77777777" w:rsidR="000C45DC" w:rsidRPr="00770F3B" w:rsidRDefault="000C45DC" w:rsidP="004040CA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1585A" w14:textId="77777777" w:rsidR="000C45DC" w:rsidRPr="00770F3B" w:rsidRDefault="000C45DC" w:rsidP="004040CA">
      <w:pPr>
        <w:pStyle w:val="ListParagraph"/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63464CAF" w14:textId="77777777" w:rsidTr="00F20B3C">
        <w:tc>
          <w:tcPr>
            <w:tcW w:w="7230" w:type="dxa"/>
          </w:tcPr>
          <w:p w14:paraId="320764F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60B828EC" w14:textId="6F79B206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1406C87E" w14:textId="7D9D3C73" w:rsidR="000C45DC" w:rsidRPr="00770F3B" w:rsidRDefault="00A2085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07588B">
              <w:rPr>
                <w:rFonts w:ascii="Arial" w:hAnsi="Arial" w:cs="Arial"/>
                <w:b/>
              </w:rPr>
              <w:t>.10.24</w:t>
            </w:r>
          </w:p>
        </w:tc>
      </w:tr>
      <w:tr w:rsidR="000C45DC" w:rsidRPr="00770F3B" w14:paraId="7E277FFA" w14:textId="77777777" w:rsidTr="00F20B3C">
        <w:tc>
          <w:tcPr>
            <w:tcW w:w="7230" w:type="dxa"/>
          </w:tcPr>
          <w:p w14:paraId="1AF8B749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498EF79F" w14:textId="77777777" w:rsidR="0068743A" w:rsidRPr="00770F3B" w:rsidRDefault="0068743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Note: the school will consider and issue decisions on late applications in accordance with the school’s admission policy.</w:t>
            </w:r>
          </w:p>
        </w:tc>
        <w:tc>
          <w:tcPr>
            <w:tcW w:w="1791" w:type="dxa"/>
          </w:tcPr>
          <w:p w14:paraId="0CBE5DF7" w14:textId="1898C05D" w:rsidR="000C45DC" w:rsidRPr="00770F3B" w:rsidRDefault="005E435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07588B">
              <w:rPr>
                <w:rFonts w:ascii="Arial" w:hAnsi="Arial" w:cs="Arial"/>
                <w:b/>
              </w:rPr>
              <w:t>.10.24</w:t>
            </w:r>
          </w:p>
        </w:tc>
      </w:tr>
      <w:tr w:rsidR="000C45DC" w:rsidRPr="00770F3B" w14:paraId="76AD30E6" w14:textId="77777777" w:rsidTr="00F20B3C">
        <w:tc>
          <w:tcPr>
            <w:tcW w:w="7230" w:type="dxa"/>
          </w:tcPr>
          <w:p w14:paraId="4C65A350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723719E3" w14:textId="2AAF8033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46E913E6" w14:textId="090A8E78" w:rsidR="000C45DC" w:rsidRPr="00770F3B" w:rsidRDefault="005E4352" w:rsidP="00A2085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28.10</w:t>
            </w:r>
            <w:r w:rsidR="0007588B">
              <w:rPr>
                <w:rFonts w:ascii="Arial" w:hAnsi="Arial" w:cs="Arial"/>
                <w:b/>
              </w:rPr>
              <w:t>.24</w:t>
            </w:r>
          </w:p>
        </w:tc>
      </w:tr>
      <w:tr w:rsidR="000C45DC" w:rsidRPr="00770F3B" w14:paraId="17B63E2A" w14:textId="77777777" w:rsidTr="00F20B3C">
        <w:tc>
          <w:tcPr>
            <w:tcW w:w="7230" w:type="dxa"/>
          </w:tcPr>
          <w:p w14:paraId="6D39D94B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  <w:p w14:paraId="5F520842" w14:textId="77777777" w:rsidR="0068743A" w:rsidRPr="00770F3B" w:rsidRDefault="0068743A" w:rsidP="0068743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*Failure to accept an offer within the prescribed period above may result in the offer being withdrawn</w:t>
            </w:r>
          </w:p>
          <w:p w14:paraId="6913A91C" w14:textId="77777777" w:rsidR="0068743A" w:rsidRPr="00770F3B" w:rsidRDefault="0068743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324B8EE9" w14:textId="2274A20E" w:rsidR="000C45DC" w:rsidRPr="00770F3B" w:rsidRDefault="005E435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 w:rsidR="0068743A">
              <w:rPr>
                <w:rFonts w:ascii="Arial" w:hAnsi="Arial" w:cs="Arial"/>
                <w:b/>
              </w:rPr>
              <w:t>week</w:t>
            </w:r>
            <w:r>
              <w:rPr>
                <w:rFonts w:ascii="Arial" w:hAnsi="Arial" w:cs="Arial"/>
                <w:b/>
              </w:rPr>
              <w:t>s</w:t>
            </w:r>
            <w:r w:rsidR="0068743A">
              <w:rPr>
                <w:rFonts w:ascii="Arial" w:hAnsi="Arial" w:cs="Arial"/>
                <w:b/>
              </w:rPr>
              <w:t xml:space="preserve"> from the issuing of the offer of a place</w:t>
            </w:r>
          </w:p>
        </w:tc>
      </w:tr>
    </w:tbl>
    <w:p w14:paraId="457B899B" w14:textId="77777777" w:rsidR="004040CA" w:rsidRPr="00C74A3B" w:rsidRDefault="004040CA" w:rsidP="00C74A3B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F5AC990" w14:textId="77777777" w:rsidR="004040CA" w:rsidRDefault="004040CA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8F37360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E9E1074" w14:textId="6673F8C5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A20859">
        <w:rPr>
          <w:rFonts w:ascii="Arial" w:hAnsi="Arial" w:cs="Arial"/>
          <w:b/>
          <w:color w:val="385623" w:themeColor="accent6" w:themeShade="80"/>
          <w:sz w:val="24"/>
          <w:szCs w:val="24"/>
        </w:rPr>
        <w:t>2025 – 2026</w:t>
      </w:r>
      <w:r w:rsidR="004040C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0E9FF2B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71AA3784" w14:textId="77777777" w:rsidTr="009A07C6">
        <w:tc>
          <w:tcPr>
            <w:tcW w:w="7513" w:type="dxa"/>
          </w:tcPr>
          <w:p w14:paraId="3BEEE3F9" w14:textId="77777777" w:rsidR="005B2501" w:rsidRDefault="005B2501" w:rsidP="004D3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</w:t>
            </w:r>
            <w:r w:rsidR="00C74A3B">
              <w:rPr>
                <w:rFonts w:ascii="Arial" w:hAnsi="Arial" w:cs="Arial"/>
              </w:rPr>
              <w:t>places being made available in Junior I</w:t>
            </w:r>
            <w:r w:rsidRPr="00770F3B">
              <w:rPr>
                <w:rFonts w:ascii="Arial" w:hAnsi="Arial" w:cs="Arial"/>
              </w:rPr>
              <w:t>nfants</w:t>
            </w:r>
          </w:p>
          <w:p w14:paraId="56AC88A5" w14:textId="77777777" w:rsidR="00C74A3B" w:rsidRPr="00770F3B" w:rsidRDefault="00C74A3B" w:rsidP="004D3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3402FCD5" w14:textId="77777777" w:rsidR="005B2501" w:rsidRPr="00770F3B" w:rsidRDefault="00D41D2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D5462">
              <w:rPr>
                <w:rFonts w:ascii="Arial" w:hAnsi="Arial" w:cs="Arial"/>
                <w:b/>
              </w:rPr>
              <w:t>0</w:t>
            </w:r>
          </w:p>
        </w:tc>
      </w:tr>
    </w:tbl>
    <w:p w14:paraId="2A20AF60" w14:textId="77777777" w:rsidR="005B2501" w:rsidRPr="00770F3B" w:rsidRDefault="005B2501" w:rsidP="00770F3B">
      <w:pPr>
        <w:pStyle w:val="NoSpacing"/>
      </w:pPr>
    </w:p>
    <w:p w14:paraId="42F4C96C" w14:textId="77777777" w:rsidR="009A07C6" w:rsidRPr="00770F3B" w:rsidRDefault="009A07C6" w:rsidP="009A07C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3DFFC04" w14:textId="77777777" w:rsidR="00770F3B" w:rsidRPr="00770F3B" w:rsidRDefault="00770F3B" w:rsidP="00770F3B">
      <w:pPr>
        <w:pStyle w:val="NoSpacing"/>
      </w:pPr>
    </w:p>
    <w:p w14:paraId="02D3FFBF" w14:textId="76C0D475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ED58F8">
        <w:rPr>
          <w:rFonts w:ascii="Arial" w:hAnsi="Arial" w:cs="Arial"/>
          <w:b/>
          <w:color w:val="385623" w:themeColor="accent6" w:themeShade="80"/>
          <w:sz w:val="24"/>
          <w:szCs w:val="24"/>
        </w:rPr>
        <w:t>2024</w:t>
      </w:r>
      <w:r w:rsidR="00D41D2F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- 202</w:t>
      </w:r>
      <w:r w:rsidR="00ED58F8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1A06F125" w14:textId="77777777" w:rsidR="009A07C6" w:rsidRPr="00770F3B" w:rsidRDefault="00EF439F" w:rsidP="00770F3B">
      <w:pPr>
        <w:pStyle w:val="NoSpacing"/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1D910" wp14:editId="3D11273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C4C4" w14:textId="79A86A5C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</w:t>
                            </w:r>
                            <w:r w:rsidR="00ED58F8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ntake Group for </w:t>
                            </w:r>
                            <w:r w:rsidR="004040C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Junior Infants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A2085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2024-2025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5E084B79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D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058BC4C4" w14:textId="79A86A5C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</w:t>
                      </w:r>
                      <w:r w:rsidR="00ED58F8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ntake Group for </w:t>
                      </w:r>
                      <w:r w:rsidR="004040C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Junior Infants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for the </w:t>
                      </w:r>
                      <w:r w:rsidR="00A2085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2024-2025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5E084B79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175DD91C" w14:textId="7737309A"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ED58F8">
        <w:rPr>
          <w:rFonts w:ascii="Arial" w:hAnsi="Arial" w:cs="Arial"/>
        </w:rPr>
        <w:t>2024 -2025</w:t>
      </w:r>
      <w:r w:rsidR="00D41D2F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 xml:space="preserve">school </w:t>
      </w:r>
      <w:r w:rsidR="004040CA">
        <w:rPr>
          <w:rFonts w:ascii="Arial" w:hAnsi="Arial" w:cs="Arial"/>
        </w:rPr>
        <w:t>year</w:t>
      </w:r>
    </w:p>
    <w:p w14:paraId="065EC84A" w14:textId="6856D437" w:rsidR="00AF06A8" w:rsidRPr="00770F3B" w:rsidRDefault="002A0BEF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</w:t>
      </w:r>
      <w:r w:rsidR="00A20859">
        <w:rPr>
          <w:rFonts w:ascii="Arial" w:hAnsi="Arial" w:cs="Arial"/>
        </w:rPr>
        <w:t>2024-2025</w:t>
      </w:r>
      <w:r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</w:t>
      </w:r>
      <w:r w:rsidR="00655E82">
        <w:rPr>
          <w:rFonts w:ascii="Arial" w:hAnsi="Arial" w:cs="Arial"/>
        </w:rPr>
        <w:t xml:space="preserve"> 55</w:t>
      </w:r>
      <w:r w:rsidR="00D41D2F">
        <w:rPr>
          <w:rFonts w:ascii="Arial" w:hAnsi="Arial" w:cs="Arial"/>
        </w:rPr>
        <w:t xml:space="preserve">. Some of these applications were received after offers had been made and accepted and after the school enrolment was deemed full. 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6EEB95D1" w14:textId="77777777" w:rsidTr="00D76D93">
        <w:tc>
          <w:tcPr>
            <w:tcW w:w="9634" w:type="dxa"/>
            <w:gridSpan w:val="2"/>
          </w:tcPr>
          <w:p w14:paraId="7D366C70" w14:textId="6F323D51" w:rsidR="00AF06A8" w:rsidRDefault="00AF06A8" w:rsidP="00C74A3B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A20859">
              <w:rPr>
                <w:rFonts w:ascii="Arial" w:hAnsi="Arial" w:cs="Arial"/>
                <w:b/>
              </w:rPr>
              <w:t>24/25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  <w:p w14:paraId="2BEAEF50" w14:textId="77777777" w:rsidR="000A2057" w:rsidRPr="00770F3B" w:rsidRDefault="000A2057" w:rsidP="00C74A3B">
            <w:pPr>
              <w:rPr>
                <w:rFonts w:ascii="Arial" w:hAnsi="Arial" w:cs="Arial"/>
                <w:b/>
              </w:rPr>
            </w:pPr>
          </w:p>
        </w:tc>
      </w:tr>
      <w:tr w:rsidR="00F20B3C" w:rsidRPr="00770F3B" w14:paraId="44A1522E" w14:textId="77777777" w:rsidTr="00255E0D">
        <w:tc>
          <w:tcPr>
            <w:tcW w:w="4508" w:type="dxa"/>
          </w:tcPr>
          <w:p w14:paraId="5EDF773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3DEEA3B3" w14:textId="77777777" w:rsidR="00F20B3C" w:rsidRDefault="00D41D2F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040CA">
              <w:rPr>
                <w:rFonts w:ascii="Arial" w:hAnsi="Arial" w:cs="Arial"/>
              </w:rPr>
              <w:t>0</w:t>
            </w:r>
          </w:p>
          <w:p w14:paraId="070ACE84" w14:textId="77777777" w:rsidR="004040CA" w:rsidRPr="00770F3B" w:rsidRDefault="004040CA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06D65511" w14:textId="77777777" w:rsidTr="00255E0D">
        <w:tc>
          <w:tcPr>
            <w:tcW w:w="4508" w:type="dxa"/>
          </w:tcPr>
          <w:p w14:paraId="7BDA7956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076DD527" w14:textId="56D2140E" w:rsidR="00F20B3C" w:rsidRDefault="007932DB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C6051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many</w:t>
            </w:r>
            <w:r w:rsidR="00C60516">
              <w:rPr>
                <w:rFonts w:ascii="Arial" w:hAnsi="Arial" w:cs="Arial"/>
              </w:rPr>
              <w:t xml:space="preserve"> after closing date</w:t>
            </w:r>
          </w:p>
          <w:p w14:paraId="1B96E4DB" w14:textId="77777777" w:rsidR="004040CA" w:rsidRPr="00770F3B" w:rsidRDefault="004040CA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6B21244B" w14:textId="77777777" w:rsidTr="00255E0D">
        <w:tc>
          <w:tcPr>
            <w:tcW w:w="4508" w:type="dxa"/>
          </w:tcPr>
          <w:p w14:paraId="678A26CB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and accepted under each </w:t>
            </w:r>
            <w:proofErr w:type="gramStart"/>
            <w:r w:rsidRPr="00770F3B">
              <w:rPr>
                <w:rFonts w:ascii="Arial" w:hAnsi="Arial" w:cs="Arial"/>
              </w:rPr>
              <w:t>criteria</w:t>
            </w:r>
            <w:proofErr w:type="gramEnd"/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39FF2DBC" w14:textId="1F04A361" w:rsidR="004040CA" w:rsidRDefault="007F3808" w:rsidP="007F38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Siblings of pupils currently</w:t>
            </w:r>
            <w:r w:rsidR="004040CA" w:rsidRPr="00423E83">
              <w:rPr>
                <w:rFonts w:ascii="Arial" w:hAnsi="Arial" w:cs="Arial"/>
              </w:rPr>
              <w:t xml:space="preserve"> </w:t>
            </w:r>
            <w:r w:rsidR="00FC30BB">
              <w:rPr>
                <w:rFonts w:ascii="Arial" w:hAnsi="Arial" w:cs="Arial"/>
              </w:rPr>
              <w:t>enrolled 21</w:t>
            </w:r>
            <w:r w:rsidR="00F81609" w:rsidRPr="00423E83">
              <w:rPr>
                <w:rFonts w:ascii="Arial" w:hAnsi="Arial" w:cs="Arial"/>
              </w:rPr>
              <w:t xml:space="preserve"> </w:t>
            </w:r>
            <w:r w:rsidR="004040CA" w:rsidRPr="00423E83">
              <w:rPr>
                <w:rFonts w:ascii="Arial" w:hAnsi="Arial" w:cs="Arial"/>
              </w:rPr>
              <w:t xml:space="preserve">places </w:t>
            </w:r>
            <w:proofErr w:type="gramStart"/>
            <w:r w:rsidR="00FC30BB">
              <w:rPr>
                <w:rFonts w:ascii="Arial" w:hAnsi="Arial" w:cs="Arial"/>
              </w:rPr>
              <w:t>offered,</w:t>
            </w:r>
            <w:proofErr w:type="gramEnd"/>
            <w:r w:rsidR="00FC30BB">
              <w:rPr>
                <w:rFonts w:ascii="Arial" w:hAnsi="Arial" w:cs="Arial"/>
              </w:rPr>
              <w:t xml:space="preserve"> 21 </w:t>
            </w:r>
            <w:r w:rsidR="004040CA" w:rsidRPr="00423E83">
              <w:rPr>
                <w:rFonts w:ascii="Arial" w:hAnsi="Arial" w:cs="Arial"/>
              </w:rPr>
              <w:t>places accepted</w:t>
            </w:r>
          </w:p>
          <w:p w14:paraId="1179077E" w14:textId="2DD4F815" w:rsidR="00BE2AD1" w:rsidRPr="007932DB" w:rsidRDefault="007932DB" w:rsidP="007932D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other applicants </w:t>
            </w:r>
            <w:r w:rsidR="009C49D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C49D8">
              <w:rPr>
                <w:rFonts w:ascii="Arial" w:hAnsi="Arial" w:cs="Arial"/>
              </w:rPr>
              <w:t>34 offered -17 accepted</w:t>
            </w:r>
          </w:p>
        </w:tc>
      </w:tr>
      <w:tr w:rsidR="00F20B3C" w:rsidRPr="00770F3B" w14:paraId="7849B0D1" w14:textId="77777777" w:rsidTr="00255E0D">
        <w:tc>
          <w:tcPr>
            <w:tcW w:w="4508" w:type="dxa"/>
          </w:tcPr>
          <w:p w14:paraId="717A41F0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7A407537" w14:textId="146393F8" w:rsidR="00F20B3C" w:rsidRDefault="009C49D8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some applications withdrawn, some refused place.</w:t>
            </w:r>
          </w:p>
          <w:p w14:paraId="15DDC7E1" w14:textId="77777777" w:rsidR="004040CA" w:rsidRPr="00770F3B" w:rsidRDefault="004040CA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1BDCF3D2" w14:textId="77777777" w:rsidTr="00255E0D">
        <w:tc>
          <w:tcPr>
            <w:tcW w:w="4508" w:type="dxa"/>
          </w:tcPr>
          <w:p w14:paraId="3E1136F7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35767115" w14:textId="1EDA33F7" w:rsidR="00F20B3C" w:rsidRPr="00770F3B" w:rsidRDefault="00655E82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68273D1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3A7E" w14:textId="77777777" w:rsidR="005805C5" w:rsidRDefault="005805C5" w:rsidP="004A61E6">
      <w:pPr>
        <w:spacing w:after="0" w:line="240" w:lineRule="auto"/>
      </w:pPr>
      <w:r>
        <w:separator/>
      </w:r>
    </w:p>
  </w:endnote>
  <w:endnote w:type="continuationSeparator" w:id="0">
    <w:p w14:paraId="19F92269" w14:textId="77777777" w:rsidR="005805C5" w:rsidRDefault="005805C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04BE" w14:textId="77777777" w:rsidR="005805C5" w:rsidRDefault="005805C5" w:rsidP="004A61E6">
      <w:pPr>
        <w:spacing w:after="0" w:line="240" w:lineRule="auto"/>
      </w:pPr>
      <w:r>
        <w:separator/>
      </w:r>
    </w:p>
  </w:footnote>
  <w:footnote w:type="continuationSeparator" w:id="0">
    <w:p w14:paraId="458A8E11" w14:textId="77777777" w:rsidR="005805C5" w:rsidRDefault="005805C5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DB53C7"/>
    <w:multiLevelType w:val="hybridMultilevel"/>
    <w:tmpl w:val="9DD208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5A7"/>
    <w:multiLevelType w:val="hybridMultilevel"/>
    <w:tmpl w:val="9748195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35017"/>
    <w:rsid w:val="0007588B"/>
    <w:rsid w:val="0009378F"/>
    <w:rsid w:val="000A2057"/>
    <w:rsid w:val="000C45DC"/>
    <w:rsid w:val="000C54BA"/>
    <w:rsid w:val="00182663"/>
    <w:rsid w:val="001E4782"/>
    <w:rsid w:val="00260938"/>
    <w:rsid w:val="002610FA"/>
    <w:rsid w:val="00291BED"/>
    <w:rsid w:val="002A0BEF"/>
    <w:rsid w:val="002B2FBB"/>
    <w:rsid w:val="0033146E"/>
    <w:rsid w:val="003F7337"/>
    <w:rsid w:val="004040CA"/>
    <w:rsid w:val="00423E83"/>
    <w:rsid w:val="00435AE7"/>
    <w:rsid w:val="00481D4C"/>
    <w:rsid w:val="004A5ADE"/>
    <w:rsid w:val="004A61E6"/>
    <w:rsid w:val="004B3288"/>
    <w:rsid w:val="004D338C"/>
    <w:rsid w:val="004E35ED"/>
    <w:rsid w:val="005805C5"/>
    <w:rsid w:val="005B2501"/>
    <w:rsid w:val="005C462C"/>
    <w:rsid w:val="005C5268"/>
    <w:rsid w:val="005C6812"/>
    <w:rsid w:val="005E4352"/>
    <w:rsid w:val="006052EA"/>
    <w:rsid w:val="006143A5"/>
    <w:rsid w:val="00655E82"/>
    <w:rsid w:val="00656C6F"/>
    <w:rsid w:val="0068743A"/>
    <w:rsid w:val="006C587D"/>
    <w:rsid w:val="006C75A3"/>
    <w:rsid w:val="006F0305"/>
    <w:rsid w:val="006F3D8A"/>
    <w:rsid w:val="00770F3B"/>
    <w:rsid w:val="00775617"/>
    <w:rsid w:val="007932DB"/>
    <w:rsid w:val="007A1DAE"/>
    <w:rsid w:val="007B1AA8"/>
    <w:rsid w:val="007F3808"/>
    <w:rsid w:val="00827610"/>
    <w:rsid w:val="008557BC"/>
    <w:rsid w:val="00861793"/>
    <w:rsid w:val="00865E39"/>
    <w:rsid w:val="008B52D5"/>
    <w:rsid w:val="00956B4F"/>
    <w:rsid w:val="00995D9F"/>
    <w:rsid w:val="009A07C6"/>
    <w:rsid w:val="009A7680"/>
    <w:rsid w:val="009C49D8"/>
    <w:rsid w:val="009D438C"/>
    <w:rsid w:val="00A20859"/>
    <w:rsid w:val="00A23921"/>
    <w:rsid w:val="00A77F24"/>
    <w:rsid w:val="00A93050"/>
    <w:rsid w:val="00AA467C"/>
    <w:rsid w:val="00AB3D50"/>
    <w:rsid w:val="00AE111F"/>
    <w:rsid w:val="00AF06A8"/>
    <w:rsid w:val="00B34968"/>
    <w:rsid w:val="00B44130"/>
    <w:rsid w:val="00B503B0"/>
    <w:rsid w:val="00B55A19"/>
    <w:rsid w:val="00BE2AD1"/>
    <w:rsid w:val="00C31C4D"/>
    <w:rsid w:val="00C32D01"/>
    <w:rsid w:val="00C334B3"/>
    <w:rsid w:val="00C60516"/>
    <w:rsid w:val="00C71F97"/>
    <w:rsid w:val="00C74A3B"/>
    <w:rsid w:val="00C84A84"/>
    <w:rsid w:val="00CF01BF"/>
    <w:rsid w:val="00D41D2F"/>
    <w:rsid w:val="00D52094"/>
    <w:rsid w:val="00D6624D"/>
    <w:rsid w:val="00D94C97"/>
    <w:rsid w:val="00D97CBF"/>
    <w:rsid w:val="00DD1289"/>
    <w:rsid w:val="00DE5034"/>
    <w:rsid w:val="00DF4181"/>
    <w:rsid w:val="00E121E5"/>
    <w:rsid w:val="00E27184"/>
    <w:rsid w:val="00E33EAD"/>
    <w:rsid w:val="00EC1C92"/>
    <w:rsid w:val="00ED112C"/>
    <w:rsid w:val="00ED5361"/>
    <w:rsid w:val="00ED5462"/>
    <w:rsid w:val="00ED58F8"/>
    <w:rsid w:val="00EF439F"/>
    <w:rsid w:val="00F20B3C"/>
    <w:rsid w:val="00F775D7"/>
    <w:rsid w:val="00F81609"/>
    <w:rsid w:val="00F844E0"/>
    <w:rsid w:val="00F92E95"/>
    <w:rsid w:val="00FC30BB"/>
    <w:rsid w:val="00FE4A77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B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A814-D83B-48FA-A290-08C19CE3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2024-10-01T12:40:00Z</dcterms:created>
  <dcterms:modified xsi:type="dcterms:W3CDTF">2024-10-01T12:40:00Z</dcterms:modified>
</cp:coreProperties>
</file>